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17 - GESTIONE DEL PERSONALE - Stato Giuridico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Assunzione di personale mediante concorsi, mobilita' e contratti di lavoro a tempo determinato o flessibile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Attribuzione progressioni economiche orizzontali o di carriera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Programma triennale ed annuale del fabbisogno di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Assunzione personale appartenente a categorie protette (Legge 68/1999)</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Stabilizzazioni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Mobilita' dall'esterno ex art. 30 del D.Lgs. 165/2001</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Statistiche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Cambi di profilo professionale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Trasformazione del rapporto di lavoro a tempo parziale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Comandi e trasferimenti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Rilevazione eccedenze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Accordi siglati in fase di contrattazione decentrata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17 - GESTIONE DEL PERSONALE - Stato Giuridico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