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27 - EDILIZIA PRIVATA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Arch. Canale Vincenza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Permesso di costruire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Permesso di costruire in sanatoria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Aggiornamento annuale costo di costruzione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V) Titoli abilitativi edilizi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Sanzioni per interventi eseguiti in assenza o difformita' dalla segnalazione certificata di inizio attivita'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Restituzione del contributo di costruzione/restituzione oneri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Manutenzione straordinaria (leggera) - CILA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Manutenzione straordinaria (pesante) - SCIA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Opere contingenti e temporanee - Comunicazione (CIL)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Interventi nelle zone appartenenti alla rete Natura 2000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V) Titoli abilitativi edilizi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Interventi da realizzare in aree naturali protette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Agibilita' - SCA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Comunicazione di fine lavori - Comunicazione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Realizzazione, connessione e esercizio di impianti di produzione di energia elettrica da fonti rinnovabili, soggetti alla previsione dell'art. 6, comma 11, D. Lgs. 28/2011 e di unita' di microgenerazione, come definita dall'art. 2, comma 1, lett. e), del D.lgs 20/2007 - Comunicazione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V) Titoli abilitativi edilizi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Interventi da realizzare in aree naturali protette - Autorizzazione Ente Gestore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27 - EDILIZIA PRIVATA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